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anchor distT="0" distB="0" distL="114300" distR="114300" simplePos="0" relativeHeight="251659264" behindDoc="1" locked="1" layoutInCell="1" allowOverlap="1">
            <wp:simplePos x="0" y="0"/>
            <wp:positionH relativeFrom="column">
              <wp:posOffset>-431165</wp:posOffset>
            </wp:positionH>
            <wp:positionV relativeFrom="paragraph">
              <wp:posOffset>-684530</wp:posOffset>
            </wp:positionV>
            <wp:extent cx="7538085" cy="10662920"/>
            <wp:effectExtent l="0" t="0" r="5715" b="5080"/>
            <wp:wrapNone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8085" cy="10662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>
      <w:pPr>
        <w:tabs>
          <w:tab w:val="left" w:pos="4303"/>
        </w:tabs>
      </w:pPr>
      <w:r>
        <w:tab/>
      </w:r>
    </w:p>
    <w:p>
      <w:pPr>
        <w:tabs>
          <w:tab w:val="left" w:pos="4303"/>
        </w:tabs>
      </w:pPr>
    </w:p>
    <w:p>
      <w:pPr>
        <w:tabs>
          <w:tab w:val="left" w:pos="4303"/>
        </w:tabs>
        <w:rPr>
          <w:rFonts w:hint="eastAsia"/>
        </w:rPr>
      </w:pPr>
    </w:p>
    <w:p>
      <w:pPr>
        <w:tabs>
          <w:tab w:val="left" w:pos="4303"/>
        </w:tabs>
      </w:pPr>
    </w:p>
    <w:p>
      <w:pPr>
        <w:tabs>
          <w:tab w:val="left" w:pos="4303"/>
        </w:tabs>
      </w:pPr>
    </w:p>
    <w:p>
      <w:pPr>
        <w:spacing w:line="600" w:lineRule="auto"/>
        <w:jc w:val="center"/>
        <w:rPr>
          <w:rFonts w:ascii="黑体" w:hAnsi="黑体" w:eastAsia="黑体"/>
          <w:b/>
          <w:bCs/>
          <w:color w:val="000000" w:themeColor="text1"/>
          <w:kern w:val="24"/>
          <w:sz w:val="48"/>
          <w:szCs w:val="48"/>
          <w14:textFill>
            <w14:solidFill>
              <w14:schemeClr w14:val="tx1"/>
            </w14:solidFill>
          </w14:textFill>
        </w:rPr>
      </w:pPr>
      <w:bookmarkStart w:id="0" w:name="_Hlk10562584"/>
      <w:bookmarkStart w:id="1" w:name="_Hlk10562583"/>
      <w:r>
        <w:rPr>
          <w:rFonts w:hint="eastAsia" w:ascii="黑体" w:hAnsi="黑体" w:eastAsia="黑体"/>
          <w:b/>
          <w:bCs/>
          <w:color w:val="000000" w:themeColor="text1"/>
          <w:kern w:val="24"/>
          <w:sz w:val="48"/>
          <w:szCs w:val="48"/>
          <w14:textFill>
            <w14:solidFill>
              <w14:schemeClr w14:val="tx1"/>
            </w14:solidFill>
          </w14:textFill>
        </w:rPr>
        <w:t>第三届（2019）交通工程与运输系统</w:t>
      </w:r>
    </w:p>
    <w:p>
      <w:pPr>
        <w:spacing w:line="600" w:lineRule="auto"/>
        <w:jc w:val="center"/>
        <w:rPr>
          <w:rFonts w:ascii="黑体" w:hAnsi="黑体" w:eastAsia="黑体"/>
          <w:b/>
          <w:bCs/>
          <w:color w:val="000000" w:themeColor="text1"/>
          <w:kern w:val="24"/>
          <w:sz w:val="48"/>
          <w:szCs w:val="4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kern w:val="24"/>
          <w:sz w:val="48"/>
          <w:szCs w:val="48"/>
          <w14:textFill>
            <w14:solidFill>
              <w14:schemeClr w14:val="tx1"/>
            </w14:solidFill>
          </w14:textFill>
        </w:rPr>
        <w:t>国际学术会议</w:t>
      </w:r>
      <w:bookmarkEnd w:id="0"/>
      <w:bookmarkEnd w:id="1"/>
    </w:p>
    <w:p>
      <w:pPr>
        <w:spacing w:line="600" w:lineRule="auto"/>
        <w:jc w:val="center"/>
        <w:rPr>
          <w:rFonts w:hint="eastAsia" w:ascii="黑体" w:hAnsi="黑体" w:eastAsia="黑体"/>
          <w:b/>
          <w:bCs/>
          <w:color w:val="000000" w:themeColor="text1"/>
          <w:kern w:val="24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spacing w:line="720" w:lineRule="auto"/>
        <w:jc w:val="center"/>
        <w:rPr>
          <w:rFonts w:ascii="华文新魏" w:hAnsi="黑体" w:eastAsia="华文新魏"/>
          <w:b/>
          <w:bCs/>
          <w:color w:val="000000" w:themeColor="text1"/>
          <w:kern w:val="24"/>
          <w:sz w:val="90"/>
          <w:szCs w:val="90"/>
          <w14:textFill>
            <w14:solidFill>
              <w14:schemeClr w14:val="tx1"/>
            </w14:solidFill>
          </w14:textFill>
        </w:rPr>
      </w:pPr>
      <w:r>
        <w:rPr>
          <w:rFonts w:hint="eastAsia" w:ascii="华文新魏" w:hAnsi="黑体" w:eastAsia="华文新魏"/>
          <w:b/>
          <w:bCs/>
          <w:color w:val="000000" w:themeColor="text1"/>
          <w:kern w:val="24"/>
          <w:sz w:val="90"/>
          <w:szCs w:val="90"/>
          <w14:textFill>
            <w14:solidFill>
              <w14:schemeClr w14:val="tx1"/>
            </w14:solidFill>
          </w14:textFill>
        </w:rPr>
        <w:t>会议通知</w:t>
      </w:r>
    </w:p>
    <w:p>
      <w:pPr>
        <w:spacing w:line="720" w:lineRule="auto"/>
        <w:jc w:val="center"/>
        <w:rPr>
          <w:rFonts w:ascii="华文新魏" w:hAnsi="黑体" w:eastAsia="华文新魏"/>
          <w:b/>
          <w:bCs/>
          <w:color w:val="000000" w:themeColor="text1"/>
          <w:kern w:val="24"/>
          <w:sz w:val="80"/>
          <w:szCs w:val="80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b/>
          <w:bCs/>
          <w:color w:val="000000" w:themeColor="text1"/>
          <w:kern w:val="24"/>
          <w:sz w:val="48"/>
          <w:szCs w:val="48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709295</wp:posOffset>
            </wp:positionH>
            <wp:positionV relativeFrom="paragraph">
              <wp:posOffset>64770</wp:posOffset>
            </wp:positionV>
            <wp:extent cx="5281295" cy="3949700"/>
            <wp:effectExtent l="0" t="0" r="0" b="0"/>
            <wp:wrapNone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1449" cy="39497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720" w:lineRule="auto"/>
        <w:jc w:val="center"/>
        <w:rPr>
          <w:rFonts w:ascii="华文新魏" w:hAnsi="黑体" w:eastAsia="华文新魏"/>
          <w:b/>
          <w:bCs/>
          <w:color w:val="000000" w:themeColor="text1"/>
          <w:kern w:val="24"/>
          <w:sz w:val="80"/>
          <w:szCs w:val="80"/>
          <w14:textFill>
            <w14:solidFill>
              <w14:schemeClr w14:val="tx1"/>
            </w14:solidFill>
          </w14:textFill>
        </w:rPr>
      </w:pPr>
    </w:p>
    <w:p>
      <w:pPr>
        <w:spacing w:line="720" w:lineRule="auto"/>
        <w:jc w:val="center"/>
        <w:rPr>
          <w:rFonts w:ascii="华文新魏" w:hAnsi="黑体" w:eastAsia="华文新魏"/>
          <w:b/>
          <w:bCs/>
          <w:color w:val="000000" w:themeColor="text1"/>
          <w:kern w:val="24"/>
          <w:sz w:val="80"/>
          <w:szCs w:val="80"/>
          <w14:textFill>
            <w14:solidFill>
              <w14:schemeClr w14:val="tx1"/>
            </w14:solidFill>
          </w14:textFill>
        </w:rPr>
      </w:pPr>
    </w:p>
    <w:p>
      <w:pPr>
        <w:spacing w:line="720" w:lineRule="auto"/>
        <w:jc w:val="center"/>
        <w:rPr>
          <w:rFonts w:ascii="华文新魏" w:hAnsi="黑体" w:eastAsia="华文新魏"/>
          <w:b/>
          <w:bCs/>
          <w:color w:val="000000" w:themeColor="text1"/>
          <w:kern w:val="24"/>
          <w:sz w:val="80"/>
          <w:szCs w:val="80"/>
          <w14:textFill>
            <w14:solidFill>
              <w14:schemeClr w14:val="tx1"/>
            </w14:solidFill>
          </w14:textFill>
        </w:rPr>
      </w:pPr>
    </w:p>
    <w:p>
      <w:pPr>
        <w:spacing w:line="720" w:lineRule="auto"/>
        <w:jc w:val="center"/>
        <w:rPr>
          <w:rFonts w:ascii="华文新魏" w:hAnsi="黑体" w:eastAsia="华文新魏"/>
          <w:b/>
          <w:bCs/>
          <w:color w:val="000000" w:themeColor="text1"/>
          <w:kern w:val="24"/>
          <w:sz w:val="80"/>
          <w:szCs w:val="80"/>
          <w14:textFill>
            <w14:solidFill>
              <w14:schemeClr w14:val="tx1"/>
            </w14:solidFill>
          </w14:textFill>
        </w:rPr>
      </w:pPr>
    </w:p>
    <w:p>
      <w:pPr>
        <w:spacing w:line="720" w:lineRule="auto"/>
        <w:jc w:val="center"/>
        <w:rPr>
          <w:rFonts w:hint="eastAsia" w:ascii="华文新魏" w:hAnsi="黑体" w:eastAsia="华文新魏"/>
          <w:b/>
          <w:bCs/>
          <w:color w:val="000000" w:themeColor="text1"/>
          <w:kern w:val="24"/>
          <w:sz w:val="80"/>
          <w:szCs w:val="8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华文新魏" w:hAnsi="黑体" w:eastAsia="华文新魏"/>
          <w:b/>
          <w:bCs/>
          <w:color w:val="000000" w:themeColor="text1"/>
          <w:kern w:val="24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华文新魏" w:hAnsi="黑体" w:eastAsia="华文新魏"/>
          <w:b/>
          <w:bCs/>
          <w:color w:val="000000" w:themeColor="text1"/>
          <w:kern w:val="24"/>
          <w:sz w:val="32"/>
          <w:szCs w:val="32"/>
          <w14:textFill>
            <w14:solidFill>
              <w14:schemeClr w14:val="tx1"/>
            </w14:solidFill>
          </w14:textFill>
        </w:rPr>
        <w:t>2019年9月20-22日</w:t>
      </w:r>
    </w:p>
    <w:p>
      <w:pPr>
        <w:spacing w:line="360" w:lineRule="auto"/>
        <w:jc w:val="center"/>
        <w:rPr>
          <w:rFonts w:hint="eastAsia" w:ascii="华文新魏" w:hAnsi="黑体" w:eastAsia="华文新魏"/>
          <w:b/>
          <w:bCs/>
          <w:color w:val="000000" w:themeColor="text1"/>
          <w:kern w:val="24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华文新魏" w:hAnsi="黑体" w:eastAsia="华文新魏"/>
          <w:b/>
          <w:bCs/>
          <w:color w:val="000000" w:themeColor="text1"/>
          <w:kern w:val="24"/>
          <w:sz w:val="32"/>
          <w:szCs w:val="32"/>
          <w14:textFill>
            <w14:solidFill>
              <w14:schemeClr w14:val="tx1"/>
            </w14:solidFill>
          </w14:textFill>
        </w:rPr>
        <w:t>中国·河南·焦作  河南理工大学</w:t>
      </w:r>
    </w:p>
    <w:p>
      <w:pPr>
        <w:spacing w:line="276" w:lineRule="auto"/>
      </w:pPr>
    </w:p>
    <w:p>
      <w:pPr>
        <w:spacing w:line="276" w:lineRule="auto"/>
      </w:pPr>
    </w:p>
    <w:p>
      <w:pPr>
        <w:spacing w:line="276" w:lineRule="auto"/>
      </w:pPr>
    </w:p>
    <w:p>
      <w:pPr>
        <w:spacing w:line="276" w:lineRule="auto"/>
        <w:rPr>
          <w:rFonts w:ascii="黑体" w:hAnsi="黑体" w:eastAsia="黑体"/>
          <w:sz w:val="36"/>
          <w:szCs w:val="36"/>
        </w:rPr>
      </w:pPr>
      <w:bookmarkStart w:id="2" w:name="_GoBack"/>
      <w:r>
        <w:rPr>
          <w:rFonts w:hint="eastAsia" w:ascii="黑体" w:hAnsi="黑体" w:eastAsia="黑体"/>
          <w:sz w:val="36"/>
          <w:szCs w:val="36"/>
        </w:rPr>
        <w:t>一</w:t>
      </w:r>
      <w:r>
        <w:drawing>
          <wp:anchor distT="0" distB="0" distL="114300" distR="114300" simplePos="0" relativeHeight="251675648" behindDoc="1" locked="1" layoutInCell="1" allowOverlap="1">
            <wp:simplePos x="0" y="0"/>
            <wp:positionH relativeFrom="column">
              <wp:posOffset>-441960</wp:posOffset>
            </wp:positionH>
            <wp:positionV relativeFrom="paragraph">
              <wp:posOffset>-1356995</wp:posOffset>
            </wp:positionV>
            <wp:extent cx="7538085" cy="10662920"/>
            <wp:effectExtent l="0" t="0" r="5715" b="5080"/>
            <wp:wrapNone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8085" cy="10662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/>
          <w:sz w:val="36"/>
          <w:szCs w:val="36"/>
        </w:rPr>
        <w:t>、会议组织单位</w:t>
      </w:r>
    </w:p>
    <w:p>
      <w:pPr>
        <w:spacing w:line="276" w:lineRule="auto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主办单位：河南理工大学</w:t>
      </w:r>
    </w:p>
    <w:p>
      <w:pPr>
        <w:spacing w:line="276" w:lineRule="auto"/>
        <w:rPr>
          <w:rFonts w:hint="eastAsia" w:ascii="楷体" w:hAnsi="楷体" w:eastAsia="楷体"/>
          <w:sz w:val="32"/>
          <w:szCs w:val="32"/>
        </w:rPr>
      </w:pPr>
      <w:r>
        <w:rPr>
          <w:rFonts w:ascii="楷体" w:hAnsi="楷体" w:eastAsia="楷体"/>
          <w:sz w:val="32"/>
          <w:szCs w:val="32"/>
        </w:rPr>
        <w:t xml:space="preserve">          AEIC学术交流中心</w:t>
      </w:r>
    </w:p>
    <w:p>
      <w:pPr>
        <w:spacing w:line="276" w:lineRule="auto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承办单位：河南理工大学</w:t>
      </w:r>
      <w:r>
        <w:rPr>
          <w:rFonts w:ascii="楷体" w:hAnsi="楷体" w:eastAsia="楷体"/>
          <w:sz w:val="32"/>
          <w:szCs w:val="32"/>
        </w:rPr>
        <w:t xml:space="preserve"> 能源科学与工程学院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  <w:r>
        <w:rPr>
          <w:rFonts w:ascii="楷体" w:hAnsi="楷体" w:eastAsia="楷体"/>
          <w:sz w:val="32"/>
          <w:szCs w:val="32"/>
        </w:rPr>
        <w:t xml:space="preserve">          河南理工大学 交通运输工程技术研究中心</w:t>
      </w:r>
    </w:p>
    <w:p>
      <w:pPr>
        <w:spacing w:line="360" w:lineRule="auto"/>
        <w:rPr>
          <w:rFonts w:hint="eastAsia" w:ascii="楷体" w:hAnsi="楷体" w:eastAsia="楷体"/>
          <w:sz w:val="32"/>
          <w:szCs w:val="32"/>
        </w:rPr>
      </w:pPr>
    </w:p>
    <w:p>
      <w:pPr>
        <w:spacing w:line="276" w:lineRule="auto"/>
        <w:rPr>
          <w:rFonts w:hint="eastAsia" w:ascii="楷体" w:hAnsi="楷体" w:eastAsia="楷体"/>
          <w:sz w:val="32"/>
          <w:szCs w:val="32"/>
        </w:rPr>
      </w:pPr>
    </w:p>
    <w:p>
      <w:pPr>
        <w:spacing w:line="360" w:lineRule="auto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二、会议时间、地点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  <w:r>
        <w:rPr>
          <w:rFonts w:ascii="楷体" w:hAnsi="楷体" w:eastAsia="楷体"/>
          <w:sz w:val="32"/>
          <w:szCs w:val="32"/>
        </w:rPr>
        <w:t>2019年9月20日至22日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中国·河南·焦作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河南理工大学南校区，河南省焦作市高新区世纪大道</w:t>
      </w:r>
      <w:r>
        <w:rPr>
          <w:rFonts w:ascii="楷体" w:hAnsi="楷体" w:eastAsia="楷体"/>
          <w:sz w:val="32"/>
          <w:szCs w:val="32"/>
        </w:rPr>
        <w:t>2001号</w:t>
      </w:r>
    </w:p>
    <w:bookmarkEnd w:id="2"/>
    <w:p>
      <w:pPr>
        <w:spacing w:line="360" w:lineRule="auto"/>
        <w:rPr>
          <w:rFonts w:ascii="楷体" w:hAnsi="楷体" w:eastAsia="楷体"/>
          <w:sz w:val="32"/>
          <w:szCs w:val="32"/>
        </w:rPr>
      </w:pPr>
    </w:p>
    <w:p>
      <w:pPr>
        <w:spacing w:line="360" w:lineRule="auto"/>
        <w:rPr>
          <w:rFonts w:hint="eastAsia" w:ascii="楷体" w:hAnsi="楷体" w:eastAsia="楷体"/>
          <w:sz w:val="32"/>
          <w:szCs w:val="32"/>
        </w:rPr>
      </w:pPr>
    </w:p>
    <w:p>
      <w:pPr>
        <w:spacing w:line="360" w:lineRule="auto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三、会议背景</w:t>
      </w:r>
    </w:p>
    <w:p>
      <w:pPr>
        <w:spacing w:line="360" w:lineRule="auto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ascii="楷体" w:hAnsi="楷体" w:eastAsia="楷体"/>
          <w:sz w:val="32"/>
          <w:szCs w:val="32"/>
        </w:rPr>
        <w:t>交通运输是国民经济中基础性、先导性、战略性产业，是重要的服务性行业。构建现代综合交通运输体系，是适应把握引领经济发展新常态，推进供给侧结构性改革，推动国家重大战略实施，支撑全面建成小康社会的客观要求。</w:t>
      </w:r>
    </w:p>
    <w:p>
      <w:pPr>
        <w:spacing w:line="360" w:lineRule="auto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ascii="楷体" w:hAnsi="楷体" w:eastAsia="楷体"/>
          <w:sz w:val="32"/>
          <w:szCs w:val="32"/>
        </w:rPr>
        <w:t>“十三五”时期，我国交通运输发展正处于支撑全面建成小康社会的攻坚期、优化网络布局的关键期、提质增效升级的转型期，将进入现代化建设新阶段。站在新的发展起点上，交通运输要准确把握经济发展新常态下的新</w:t>
      </w:r>
    </w:p>
    <w:p>
      <w:pPr>
        <w:spacing w:line="360" w:lineRule="auto"/>
        <w:ind w:firstLine="420" w:firstLineChars="200"/>
        <w:rPr>
          <w:rFonts w:hint="eastAsia" w:ascii="楷体" w:hAnsi="楷体" w:eastAsia="楷体"/>
          <w:sz w:val="32"/>
          <w:szCs w:val="32"/>
        </w:rPr>
      </w:pPr>
      <w:r>
        <w:drawing>
          <wp:anchor distT="0" distB="0" distL="114300" distR="114300" simplePos="0" relativeHeight="251679744" behindDoc="1" locked="1" layoutInCell="1" allowOverlap="1">
            <wp:simplePos x="0" y="0"/>
            <wp:positionH relativeFrom="column">
              <wp:posOffset>-426085</wp:posOffset>
            </wp:positionH>
            <wp:positionV relativeFrom="paragraph">
              <wp:posOffset>-662940</wp:posOffset>
            </wp:positionV>
            <wp:extent cx="7538085" cy="10662920"/>
            <wp:effectExtent l="0" t="0" r="5715" b="5080"/>
            <wp:wrapNone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8085" cy="10662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  <w:r>
        <w:rPr>
          <w:rFonts w:ascii="楷体" w:hAnsi="楷体" w:eastAsia="楷体"/>
          <w:sz w:val="32"/>
          <w:szCs w:val="32"/>
        </w:rPr>
        <w:t>形势、新要求，切实转变发展思路、方式和路径，优化结构、转换动能、补齐短板、提质增效，更好满足多元、舒适、便捷等客运需求和经济、可靠、高效等货运需求；要突出对“一带一路”建设、京津冀协同发展、长江经济带发展三大战略和新型城镇化、脱贫攻坚的支撑保障，着力消除瓶颈制约，提升运输服务的协同性和均等化水平；要更加注重提</w:t>
      </w:r>
      <w:r>
        <w:rPr>
          <w:rFonts w:hint="eastAsia" w:ascii="楷体" w:hAnsi="楷体" w:eastAsia="楷体"/>
          <w:sz w:val="32"/>
          <w:szCs w:val="32"/>
        </w:rPr>
        <w:t>高交通安全和应急保障能力，提升绿色、低碳、集约发展水平；要适应国际发展新环境，提高国际通道保障能力和互联互通水平，有效支撑全方位对外开放。</w:t>
      </w:r>
    </w:p>
    <w:p>
      <w:pPr>
        <w:spacing w:line="360" w:lineRule="auto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ascii="楷体" w:hAnsi="楷体" w:eastAsia="楷体"/>
          <w:sz w:val="32"/>
          <w:szCs w:val="32"/>
        </w:rPr>
        <w:t>在此背景下，河南理工大学能源科学与工程学院承办“第三届交通工程与运输系统国际学术会议”。本次会议将邀请来自亚洲、欧洲和北美各高校的学者，旨在为从事交通工程与运输系统研究的专家学者、工程技术人员、技术研发人员提供一个共享科研成果和前沿技术，了解学术发展趋势，拓宽研究思路，加强学术研究和探讨，促进学术成果产业化合作的平台。大会诚邀国内外高校、科研机构专家、学者，企业界人士及其他相关人员参会交流，并期望通过这一交流平台，建立良好的学术交流与合作关系，推动中国交通工程与运输系统研究走向世界。</w:t>
      </w:r>
    </w:p>
    <w:p>
      <w:pPr>
        <w:spacing w:line="360" w:lineRule="auto"/>
        <w:rPr>
          <w:rFonts w:hint="eastAsia" w:ascii="楷体" w:hAnsi="楷体" w:eastAsia="楷体"/>
          <w:sz w:val="32"/>
          <w:szCs w:val="32"/>
        </w:rPr>
      </w:pPr>
    </w:p>
    <w:p>
      <w:pPr>
        <w:spacing w:line="360" w:lineRule="auto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四、会议主题</w:t>
      </w:r>
    </w:p>
    <w:p>
      <w:pPr>
        <w:spacing w:line="360" w:lineRule="auto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ascii="楷体" w:hAnsi="楷体" w:eastAsia="楷体"/>
          <w:sz w:val="32"/>
          <w:szCs w:val="32"/>
        </w:rPr>
        <w:t>本次会议的主题是</w:t>
      </w:r>
      <w:r>
        <w:rPr>
          <w:rFonts w:ascii="楷体" w:hAnsi="楷体" w:eastAsia="楷体"/>
          <w:color w:val="C00000"/>
          <w:sz w:val="32"/>
          <w:szCs w:val="32"/>
        </w:rPr>
        <w:t>“一带一路、交通运输的发展机遇与挑战”</w:t>
      </w:r>
      <w:r>
        <w:rPr>
          <w:rFonts w:ascii="楷体" w:hAnsi="楷体" w:eastAsia="楷体"/>
          <w:sz w:val="32"/>
          <w:szCs w:val="32"/>
        </w:rPr>
        <w:t>。交通运输是国民经济中基础性、先导性、战略性产业，构建“一带一路”现代综合交通运输体系，既是发挥交通运输引领功能的时代要求，也是服务“一带一路”建设的现实需要。我们期待大家相聚河南理工大学，通过思想与思想的碰撞，共同探寻人类和谐共处、自由交流的智慧。</w:t>
      </w:r>
    </w:p>
    <w:p>
      <w:pPr>
        <w:spacing w:line="360" w:lineRule="auto"/>
        <w:rPr>
          <w:rFonts w:ascii="黑体" w:hAnsi="黑体" w:eastAsia="黑体"/>
          <w:sz w:val="36"/>
          <w:szCs w:val="36"/>
        </w:rPr>
      </w:pPr>
    </w:p>
    <w:p>
      <w:pPr>
        <w:spacing w:line="360" w:lineRule="auto"/>
        <w:rPr>
          <w:rFonts w:ascii="黑体" w:hAnsi="黑体" w:eastAsia="黑体"/>
          <w:sz w:val="36"/>
          <w:szCs w:val="36"/>
        </w:rPr>
      </w:pPr>
    </w:p>
    <w:p>
      <w:pPr>
        <w:spacing w:line="360" w:lineRule="auto"/>
        <w:rPr>
          <w:rFonts w:ascii="黑体" w:hAnsi="黑体" w:eastAsia="黑体"/>
          <w:sz w:val="36"/>
          <w:szCs w:val="36"/>
        </w:rPr>
      </w:pPr>
      <w:r>
        <w:drawing>
          <wp:anchor distT="0" distB="0" distL="114300" distR="114300" simplePos="0" relativeHeight="251677696" behindDoc="1" locked="1" layoutInCell="1" allowOverlap="1">
            <wp:simplePos x="0" y="0"/>
            <wp:positionH relativeFrom="column">
              <wp:posOffset>-441960</wp:posOffset>
            </wp:positionH>
            <wp:positionV relativeFrom="paragraph">
              <wp:posOffset>-1467485</wp:posOffset>
            </wp:positionV>
            <wp:extent cx="7538085" cy="10662920"/>
            <wp:effectExtent l="0" t="0" r="5715" b="5080"/>
            <wp:wrapNone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8085" cy="10662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/>
          <w:sz w:val="36"/>
          <w:szCs w:val="36"/>
        </w:rPr>
        <w:t>五、组织委员</w:t>
      </w:r>
    </w:p>
    <w:p>
      <w:pPr>
        <w:spacing w:line="360" w:lineRule="auto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大会主席：赵同谦</w:t>
      </w:r>
      <w:r>
        <w:rPr>
          <w:rFonts w:ascii="楷体" w:hAnsi="楷体" w:eastAsia="楷体"/>
          <w:sz w:val="32"/>
          <w:szCs w:val="32"/>
        </w:rPr>
        <w:t xml:space="preserve">  副校长、教授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组织委员会：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  <w:r>
        <w:rPr>
          <w:rFonts w:ascii="楷体" w:hAnsi="楷体" w:eastAsia="楷体"/>
          <w:sz w:val="32"/>
          <w:szCs w:val="32"/>
        </w:rPr>
        <w:t xml:space="preserve">    主席：郭文兵 院长、教授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  <w:r>
        <w:rPr>
          <w:rFonts w:ascii="楷体" w:hAnsi="楷体" w:eastAsia="楷体"/>
          <w:sz w:val="32"/>
          <w:szCs w:val="32"/>
        </w:rPr>
        <w:t xml:space="preserve">    成员：刘少伟 李东印 郜进海 郭保华 尤明庆 刘晓光                                              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  <w:r>
        <w:rPr>
          <w:rFonts w:ascii="楷体" w:hAnsi="楷体" w:eastAsia="楷体"/>
          <w:sz w:val="32"/>
          <w:szCs w:val="32"/>
        </w:rPr>
        <w:t xml:space="preserve">          李香红 朱成明 王科峰 张爱霞 张亚伟 朱明礼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  <w:r>
        <w:rPr>
          <w:rFonts w:ascii="楷体" w:hAnsi="楷体" w:eastAsia="楷体"/>
          <w:sz w:val="32"/>
          <w:szCs w:val="32"/>
        </w:rPr>
        <w:t xml:space="preserve">          宋晖颖 王玉刚 康继春 郭经纬 陈  岩 刘雅娴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  <w:r>
        <w:rPr>
          <w:rFonts w:ascii="楷体" w:hAnsi="楷体" w:eastAsia="楷体"/>
          <w:sz w:val="32"/>
          <w:szCs w:val="32"/>
        </w:rPr>
        <w:t xml:space="preserve">          程露萍 李  萧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</w:p>
    <w:p>
      <w:pPr>
        <w:spacing w:line="360" w:lineRule="auto"/>
        <w:rPr>
          <w:rFonts w:hint="eastAsia" w:ascii="楷体" w:hAnsi="楷体" w:eastAsia="楷体"/>
          <w:sz w:val="32"/>
          <w:szCs w:val="32"/>
        </w:rPr>
      </w:pPr>
    </w:p>
    <w:p>
      <w:pPr>
        <w:spacing w:line="360" w:lineRule="auto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六、会议日程</w:t>
      </w:r>
    </w:p>
    <w:p>
      <w:pPr>
        <w:spacing w:line="360" w:lineRule="auto"/>
        <w:rPr>
          <w:rFonts w:hint="eastAsia" w:ascii="黑体" w:hAnsi="黑体" w:eastAsia="黑体"/>
          <w:sz w:val="36"/>
          <w:szCs w:val="36"/>
        </w:rPr>
      </w:pPr>
    </w:p>
    <w:tbl>
      <w:tblPr>
        <w:tblStyle w:val="4"/>
        <w:tblW w:w="9366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59"/>
        <w:gridCol w:w="540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3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3F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spacing w:line="360" w:lineRule="auto"/>
              <w:rPr>
                <w:rFonts w:ascii="楷体" w:hAnsi="楷体" w:eastAsia="楷体"/>
                <w:sz w:val="32"/>
                <w:szCs w:val="32"/>
              </w:rPr>
            </w:pPr>
            <w:r>
              <w:rPr>
                <w:rFonts w:hint="eastAsia" w:ascii="楷体" w:hAnsi="楷体" w:eastAsia="楷体"/>
                <w:sz w:val="32"/>
                <w:szCs w:val="32"/>
              </w:rPr>
              <w:t>2019年9月20日</w:t>
            </w:r>
          </w:p>
        </w:tc>
        <w:tc>
          <w:tcPr>
            <w:tcW w:w="54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3F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spacing w:line="360" w:lineRule="auto"/>
              <w:rPr>
                <w:rFonts w:ascii="楷体" w:hAnsi="楷体" w:eastAsia="楷体"/>
                <w:sz w:val="32"/>
                <w:szCs w:val="32"/>
              </w:rPr>
            </w:pPr>
            <w:r>
              <w:rPr>
                <w:rFonts w:hint="eastAsia" w:ascii="楷体" w:hAnsi="楷体" w:eastAsia="楷体"/>
                <w:sz w:val="32"/>
                <w:szCs w:val="32"/>
              </w:rPr>
              <w:t>报到注册、领取会议资料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2" w:hRule="atLeast"/>
          <w:jc w:val="center"/>
        </w:trPr>
        <w:tc>
          <w:tcPr>
            <w:tcW w:w="3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3F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spacing w:line="360" w:lineRule="auto"/>
              <w:rPr>
                <w:rFonts w:ascii="楷体" w:hAnsi="楷体" w:eastAsia="楷体"/>
                <w:sz w:val="32"/>
                <w:szCs w:val="32"/>
              </w:rPr>
            </w:pPr>
            <w:r>
              <w:rPr>
                <w:rFonts w:hint="eastAsia" w:ascii="楷体" w:hAnsi="楷体" w:eastAsia="楷体"/>
                <w:sz w:val="32"/>
                <w:szCs w:val="32"/>
              </w:rPr>
              <w:t>2019年9月21日</w:t>
            </w:r>
          </w:p>
          <w:p>
            <w:pPr>
              <w:spacing w:line="360" w:lineRule="auto"/>
              <w:rPr>
                <w:rFonts w:ascii="楷体" w:hAnsi="楷体" w:eastAsia="楷体"/>
                <w:sz w:val="32"/>
                <w:szCs w:val="32"/>
              </w:rPr>
            </w:pPr>
            <w:r>
              <w:rPr>
                <w:rFonts w:hint="eastAsia" w:ascii="楷体" w:hAnsi="楷体" w:eastAsia="楷体"/>
                <w:sz w:val="32"/>
                <w:szCs w:val="32"/>
              </w:rPr>
              <w:t>9:00-12:00</w:t>
            </w:r>
          </w:p>
          <w:p>
            <w:pPr>
              <w:spacing w:line="360" w:lineRule="auto"/>
              <w:rPr>
                <w:rFonts w:ascii="楷体" w:hAnsi="楷体" w:eastAsia="楷体"/>
                <w:sz w:val="32"/>
                <w:szCs w:val="32"/>
              </w:rPr>
            </w:pPr>
            <w:r>
              <w:rPr>
                <w:rFonts w:hint="eastAsia" w:ascii="楷体" w:hAnsi="楷体" w:eastAsia="楷体"/>
                <w:sz w:val="32"/>
                <w:szCs w:val="32"/>
              </w:rPr>
              <w:t>14:00-18:00</w:t>
            </w:r>
          </w:p>
        </w:tc>
        <w:tc>
          <w:tcPr>
            <w:tcW w:w="54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3F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spacing w:line="360" w:lineRule="auto"/>
              <w:rPr>
                <w:rFonts w:ascii="楷体" w:hAnsi="楷体" w:eastAsia="楷体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sz w:val="32"/>
                <w:szCs w:val="32"/>
              </w:rPr>
            </w:pPr>
            <w:r>
              <w:rPr>
                <w:rFonts w:hint="eastAsia" w:ascii="楷体" w:hAnsi="楷体" w:eastAsia="楷体"/>
                <w:sz w:val="32"/>
                <w:szCs w:val="32"/>
              </w:rPr>
              <w:t>开幕式、大会报告</w:t>
            </w:r>
          </w:p>
          <w:p>
            <w:pPr>
              <w:spacing w:line="360" w:lineRule="auto"/>
              <w:rPr>
                <w:rFonts w:ascii="楷体" w:hAnsi="楷体" w:eastAsia="楷体"/>
                <w:sz w:val="32"/>
                <w:szCs w:val="32"/>
              </w:rPr>
            </w:pPr>
            <w:r>
              <w:rPr>
                <w:rFonts w:hint="eastAsia" w:ascii="楷体" w:hAnsi="楷体" w:eastAsia="楷体"/>
                <w:sz w:val="32"/>
                <w:szCs w:val="32"/>
              </w:rPr>
              <w:t>口头报告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  <w:jc w:val="center"/>
        </w:trPr>
        <w:tc>
          <w:tcPr>
            <w:tcW w:w="3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3F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spacing w:line="360" w:lineRule="auto"/>
              <w:rPr>
                <w:rFonts w:ascii="楷体" w:hAnsi="楷体" w:eastAsia="楷体"/>
                <w:sz w:val="32"/>
                <w:szCs w:val="32"/>
              </w:rPr>
            </w:pPr>
            <w:r>
              <w:rPr>
                <w:rFonts w:hint="eastAsia" w:ascii="楷体" w:hAnsi="楷体" w:eastAsia="楷体"/>
                <w:sz w:val="32"/>
                <w:szCs w:val="32"/>
              </w:rPr>
              <w:t>2019年9月22日</w:t>
            </w:r>
          </w:p>
          <w:p>
            <w:pPr>
              <w:spacing w:line="360" w:lineRule="auto"/>
              <w:rPr>
                <w:rFonts w:ascii="楷体" w:hAnsi="楷体" w:eastAsia="楷体"/>
                <w:sz w:val="32"/>
                <w:szCs w:val="32"/>
              </w:rPr>
            </w:pPr>
            <w:r>
              <w:rPr>
                <w:rFonts w:hint="eastAsia" w:ascii="楷体" w:hAnsi="楷体" w:eastAsia="楷体"/>
                <w:sz w:val="32"/>
                <w:szCs w:val="32"/>
              </w:rPr>
              <w:t>9:00-12:00</w:t>
            </w:r>
          </w:p>
        </w:tc>
        <w:tc>
          <w:tcPr>
            <w:tcW w:w="54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3F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spacing w:line="360" w:lineRule="auto"/>
              <w:rPr>
                <w:rFonts w:ascii="楷体" w:hAnsi="楷体" w:eastAsia="楷体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sz w:val="32"/>
                <w:szCs w:val="32"/>
              </w:rPr>
            </w:pPr>
            <w:r>
              <w:rPr>
                <w:rFonts w:hint="eastAsia" w:ascii="楷体" w:hAnsi="楷体" w:eastAsia="楷体"/>
                <w:sz w:val="32"/>
                <w:szCs w:val="32"/>
              </w:rPr>
              <w:t>学术考察</w:t>
            </w:r>
          </w:p>
        </w:tc>
      </w:tr>
    </w:tbl>
    <w:p>
      <w:pPr>
        <w:spacing w:line="360" w:lineRule="auto"/>
        <w:ind w:firstLine="560" w:firstLineChars="200"/>
        <w:rPr>
          <w:rFonts w:ascii="华文新魏" w:hAnsi="楷体" w:eastAsia="华文新魏"/>
          <w:sz w:val="28"/>
          <w:szCs w:val="28"/>
        </w:rPr>
      </w:pPr>
      <w:r>
        <w:rPr>
          <w:rFonts w:hint="eastAsia" w:ascii="华文新魏" w:hAnsi="楷体" w:eastAsia="华文新魏"/>
          <w:sz w:val="28"/>
          <w:szCs w:val="28"/>
        </w:rPr>
        <w:t>*注：最终会议日程及议程待定，可随时关注会议网站更新。</w:t>
      </w:r>
    </w:p>
    <w:p>
      <w:pPr>
        <w:spacing w:line="360" w:lineRule="auto"/>
        <w:rPr>
          <w:rFonts w:ascii="华文新魏" w:hAnsi="楷体" w:eastAsia="华文新魏"/>
          <w:sz w:val="22"/>
        </w:rPr>
      </w:pPr>
    </w:p>
    <w:p>
      <w:pPr>
        <w:spacing w:line="360" w:lineRule="auto"/>
        <w:rPr>
          <w:rFonts w:ascii="华文新魏" w:hAnsi="楷体" w:eastAsia="华文新魏"/>
          <w:sz w:val="22"/>
        </w:rPr>
      </w:pPr>
    </w:p>
    <w:p>
      <w:pPr>
        <w:spacing w:line="360" w:lineRule="auto"/>
        <w:rPr>
          <w:rFonts w:ascii="华文新魏" w:hAnsi="楷体" w:eastAsia="华文新魏"/>
          <w:sz w:val="22"/>
        </w:rPr>
      </w:pPr>
      <w:r>
        <w:drawing>
          <wp:anchor distT="0" distB="0" distL="114300" distR="114300" simplePos="0" relativeHeight="251683840" behindDoc="1" locked="1" layoutInCell="1" allowOverlap="1">
            <wp:simplePos x="0" y="0"/>
            <wp:positionH relativeFrom="column">
              <wp:posOffset>-447040</wp:posOffset>
            </wp:positionH>
            <wp:positionV relativeFrom="paragraph">
              <wp:posOffset>-685165</wp:posOffset>
            </wp:positionV>
            <wp:extent cx="7538085" cy="10662920"/>
            <wp:effectExtent l="0" t="0" r="5715" b="5080"/>
            <wp:wrapNone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8085" cy="10662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81792" behindDoc="1" locked="1" layoutInCell="1" allowOverlap="1">
            <wp:simplePos x="0" y="0"/>
            <wp:positionH relativeFrom="column">
              <wp:posOffset>-441960</wp:posOffset>
            </wp:positionH>
            <wp:positionV relativeFrom="paragraph">
              <wp:posOffset>-678815</wp:posOffset>
            </wp:positionV>
            <wp:extent cx="7538085" cy="10662920"/>
            <wp:effectExtent l="0" t="0" r="5715" b="5080"/>
            <wp:wrapNone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8085" cy="10662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rPr>
          <w:rFonts w:hint="eastAsia" w:ascii="华文新魏" w:hAnsi="楷体" w:eastAsia="华文新魏"/>
          <w:sz w:val="22"/>
        </w:rPr>
      </w:pPr>
    </w:p>
    <w:p>
      <w:pPr>
        <w:spacing w:line="360" w:lineRule="auto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七、会议征文日期、主题</w:t>
      </w:r>
    </w:p>
    <w:p>
      <w:pPr>
        <w:spacing w:line="360" w:lineRule="auto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本次会议的主题是</w:t>
      </w:r>
      <w:r>
        <w:rPr>
          <w:rFonts w:hint="eastAsia" w:ascii="楷体" w:hAnsi="楷体" w:eastAsia="楷体"/>
          <w:color w:val="FF0000"/>
          <w:sz w:val="32"/>
          <w:szCs w:val="32"/>
        </w:rPr>
        <w:t>“一带一路、交通运输的发展机遇与挑战”</w:t>
      </w:r>
      <w:r>
        <w:rPr>
          <w:rFonts w:hint="eastAsia" w:ascii="楷体" w:hAnsi="楷体" w:eastAsia="楷体"/>
          <w:sz w:val="32"/>
          <w:szCs w:val="32"/>
        </w:rPr>
        <w:t>。征稿范围包括但不仅限于以下主题：</w:t>
      </w:r>
    </w:p>
    <w:p>
      <w:pPr>
        <w:spacing w:line="360" w:lineRule="auto"/>
        <w:rPr>
          <w:rFonts w:hint="eastAsia" w:ascii="楷体" w:hAnsi="楷体" w:eastAsia="楷体"/>
          <w:sz w:val="32"/>
          <w:szCs w:val="32"/>
          <w:lang w:val="en-US" w:eastAsia="zh-CN"/>
        </w:rPr>
      </w:pPr>
      <w:r>
        <w:rPr>
          <w:rFonts w:hint="eastAsia" w:ascii="楷体" w:hAnsi="楷体" w:eastAsia="楷体"/>
          <w:sz w:val="32"/>
          <w:szCs w:val="32"/>
          <w:lang w:val="en-US" w:eastAsia="zh-CN"/>
        </w:rPr>
        <w:t>1. 交通工程（规划、管理、信息、控制、设计、安全、环境等）</w:t>
      </w:r>
    </w:p>
    <w:p>
      <w:pPr>
        <w:spacing w:line="360" w:lineRule="auto"/>
        <w:rPr>
          <w:rFonts w:hint="eastAsia" w:ascii="楷体" w:hAnsi="楷体" w:eastAsia="楷体"/>
          <w:sz w:val="32"/>
          <w:szCs w:val="32"/>
          <w:lang w:val="en-US" w:eastAsia="zh-CN"/>
        </w:rPr>
      </w:pPr>
      <w:r>
        <w:rPr>
          <w:rFonts w:hint="eastAsia" w:ascii="楷体" w:hAnsi="楷体" w:eastAsia="楷体"/>
          <w:sz w:val="32"/>
          <w:szCs w:val="32"/>
          <w:lang w:val="en-US" w:eastAsia="zh-CN"/>
        </w:rPr>
        <w:t>2. 交通基础设施设计与施工（隧道、边坡、桥梁、路基路面、附属设施、岩土力学等）</w:t>
      </w:r>
    </w:p>
    <w:p>
      <w:pPr>
        <w:spacing w:line="360" w:lineRule="auto"/>
        <w:rPr>
          <w:rFonts w:hint="eastAsia" w:ascii="楷体" w:hAnsi="楷体" w:eastAsia="楷体"/>
          <w:sz w:val="32"/>
          <w:szCs w:val="32"/>
          <w:lang w:val="en-US" w:eastAsia="zh-CN"/>
        </w:rPr>
      </w:pPr>
      <w:r>
        <w:rPr>
          <w:rFonts w:hint="eastAsia" w:ascii="楷体" w:hAnsi="楷体" w:eastAsia="楷体"/>
          <w:sz w:val="32"/>
          <w:szCs w:val="32"/>
          <w:lang w:val="en-US" w:eastAsia="zh-CN"/>
        </w:rPr>
        <w:t>3. 航空/海上/货物/都市/水路运输</w:t>
      </w:r>
    </w:p>
    <w:p>
      <w:pPr>
        <w:spacing w:line="360" w:lineRule="auto"/>
        <w:rPr>
          <w:rFonts w:hint="eastAsia" w:ascii="楷体" w:hAnsi="楷体" w:eastAsia="楷体"/>
          <w:sz w:val="32"/>
          <w:szCs w:val="32"/>
          <w:lang w:val="en-US" w:eastAsia="zh-CN"/>
        </w:rPr>
      </w:pPr>
      <w:r>
        <w:rPr>
          <w:rFonts w:hint="eastAsia" w:ascii="楷体" w:hAnsi="楷体" w:eastAsia="楷体"/>
          <w:sz w:val="32"/>
          <w:szCs w:val="32"/>
          <w:lang w:val="en-US" w:eastAsia="zh-CN"/>
        </w:rPr>
        <w:t>4. 铁路与运输系统</w:t>
      </w:r>
    </w:p>
    <w:p>
      <w:pPr>
        <w:spacing w:line="360" w:lineRule="auto"/>
        <w:rPr>
          <w:rFonts w:hint="eastAsia" w:ascii="楷体" w:hAnsi="楷体" w:eastAsia="楷体"/>
          <w:sz w:val="32"/>
          <w:szCs w:val="32"/>
          <w:lang w:val="en-US" w:eastAsia="zh-CN"/>
        </w:rPr>
      </w:pPr>
      <w:r>
        <w:rPr>
          <w:rFonts w:hint="eastAsia" w:ascii="楷体" w:hAnsi="楷体" w:eastAsia="楷体"/>
          <w:sz w:val="32"/>
          <w:szCs w:val="32"/>
          <w:lang w:val="en-US" w:eastAsia="zh-CN"/>
        </w:rPr>
        <w:t>5. 载运工具运用工程</w:t>
      </w:r>
    </w:p>
    <w:p>
      <w:pPr>
        <w:spacing w:line="360" w:lineRule="auto"/>
        <w:rPr>
          <w:rFonts w:hint="eastAsia" w:ascii="楷体" w:hAnsi="楷体" w:eastAsia="楷体"/>
          <w:sz w:val="32"/>
          <w:szCs w:val="32"/>
          <w:lang w:val="en-US" w:eastAsia="zh-CN"/>
        </w:rPr>
      </w:pPr>
      <w:r>
        <w:rPr>
          <w:rFonts w:hint="eastAsia" w:ascii="楷体" w:hAnsi="楷体" w:eastAsia="楷体"/>
          <w:sz w:val="32"/>
          <w:szCs w:val="32"/>
          <w:lang w:val="en-US" w:eastAsia="zh-CN"/>
        </w:rPr>
        <w:t>6. 智能交通/绿色交通</w:t>
      </w:r>
    </w:p>
    <w:p>
      <w:pPr>
        <w:spacing w:line="360" w:lineRule="auto"/>
        <w:rPr>
          <w:rFonts w:hint="eastAsia" w:ascii="楷体" w:hAnsi="楷体" w:eastAsia="楷体"/>
          <w:sz w:val="32"/>
          <w:szCs w:val="32"/>
          <w:lang w:val="en-US" w:eastAsia="zh-CN"/>
        </w:rPr>
      </w:pPr>
      <w:r>
        <w:rPr>
          <w:rFonts w:hint="eastAsia" w:ascii="楷体" w:hAnsi="楷体" w:eastAsia="楷体"/>
          <w:sz w:val="32"/>
          <w:szCs w:val="32"/>
          <w:lang w:val="en-US" w:eastAsia="zh-CN"/>
        </w:rPr>
        <w:t>7. 供应链管理</w:t>
      </w:r>
    </w:p>
    <w:p>
      <w:pPr>
        <w:spacing w:line="360" w:lineRule="auto"/>
        <w:rPr>
          <w:rFonts w:hint="eastAsia" w:ascii="楷体" w:hAnsi="楷体" w:eastAsia="楷体"/>
          <w:sz w:val="32"/>
          <w:szCs w:val="32"/>
          <w:lang w:val="en-US" w:eastAsia="zh-CN"/>
        </w:rPr>
      </w:pPr>
      <w:r>
        <w:rPr>
          <w:rFonts w:hint="eastAsia" w:ascii="楷体" w:hAnsi="楷体" w:eastAsia="楷体"/>
          <w:sz w:val="32"/>
          <w:szCs w:val="32"/>
          <w:lang w:val="en-US" w:eastAsia="zh-CN"/>
        </w:rPr>
        <w:t>8. 物流工程</w:t>
      </w:r>
    </w:p>
    <w:p>
      <w:pPr>
        <w:spacing w:line="360" w:lineRule="auto"/>
        <w:rPr>
          <w:rFonts w:hint="eastAsia" w:ascii="楷体" w:hAnsi="楷体" w:eastAsia="楷体"/>
          <w:sz w:val="32"/>
          <w:szCs w:val="32"/>
          <w:lang w:val="en-US" w:eastAsia="zh-CN"/>
        </w:rPr>
      </w:pPr>
      <w:r>
        <w:rPr>
          <w:rFonts w:hint="eastAsia" w:ascii="楷体" w:hAnsi="楷体" w:eastAsia="楷体"/>
          <w:sz w:val="32"/>
          <w:szCs w:val="32"/>
          <w:lang w:val="en-US" w:eastAsia="zh-CN"/>
        </w:rPr>
        <w:t>9. 其他相关主题</w:t>
      </w:r>
    </w:p>
    <w:p>
      <w:pPr>
        <w:spacing w:line="360" w:lineRule="auto"/>
        <w:rPr>
          <w:rFonts w:hint="eastAsia" w:ascii="楷体" w:hAnsi="楷体" w:eastAsia="楷体"/>
          <w:sz w:val="32"/>
          <w:szCs w:val="32"/>
        </w:rPr>
      </w:pPr>
    </w:p>
    <w:p>
      <w:pPr>
        <w:spacing w:line="360" w:lineRule="auto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八、论文征集与发表</w:t>
      </w:r>
    </w:p>
    <w:p>
      <w:pPr>
        <w:spacing w:line="360" w:lineRule="auto"/>
        <w:rPr>
          <w:rFonts w:ascii="楷体" w:hAnsi="楷体" w:eastAsia="楷体"/>
          <w:b/>
          <w:sz w:val="32"/>
          <w:szCs w:val="32"/>
        </w:rPr>
      </w:pPr>
      <w:r>
        <w:rPr>
          <w:rFonts w:ascii="楷体" w:hAnsi="楷体" w:eastAsia="楷体"/>
          <w:b/>
          <w:sz w:val="32"/>
          <w:szCs w:val="32"/>
        </w:rPr>
        <w:t>EI会议论文征集：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  <w:r>
        <w:rPr>
          <w:rFonts w:ascii="楷体" w:hAnsi="楷体" w:eastAsia="楷体"/>
          <w:sz w:val="32"/>
          <w:szCs w:val="32"/>
        </w:rPr>
        <w:t xml:space="preserve">    本会议投稿经过2-3位组委会专家严格审核之后，最终所录用的论文将被EI目录系列期刊 IOP Conference Series: Materials Science and Engineering (MSE)(ISSN: 1757-8981)出版，并提交至EI Compendex和CPCI检索。</w:t>
      </w:r>
    </w:p>
    <w:p>
      <w:pPr>
        <w:spacing w:line="360" w:lineRule="auto"/>
        <w:rPr>
          <w:rFonts w:ascii="楷体" w:hAnsi="楷体" w:eastAsia="楷体"/>
          <w:color w:val="C00000"/>
          <w:sz w:val="28"/>
          <w:szCs w:val="32"/>
        </w:rPr>
      </w:pPr>
      <w:r>
        <w:rPr>
          <w:rFonts w:ascii="楷体" w:hAnsi="楷体" w:eastAsia="楷体"/>
          <w:color w:val="C00000"/>
          <w:sz w:val="28"/>
          <w:szCs w:val="32"/>
        </w:rPr>
        <w:t>*注：往届已全部检索。</w:t>
      </w:r>
    </w:p>
    <w:p>
      <w:pPr>
        <w:spacing w:line="360" w:lineRule="auto"/>
        <w:rPr>
          <w:rFonts w:ascii="楷体" w:hAnsi="楷体" w:eastAsia="楷体"/>
          <w:b/>
          <w:sz w:val="32"/>
          <w:szCs w:val="32"/>
        </w:rPr>
      </w:pPr>
    </w:p>
    <w:p>
      <w:pPr>
        <w:spacing w:line="360" w:lineRule="auto"/>
        <w:rPr>
          <w:rFonts w:ascii="楷体" w:hAnsi="楷体" w:eastAsia="楷体"/>
          <w:b/>
          <w:sz w:val="32"/>
          <w:szCs w:val="32"/>
        </w:rPr>
      </w:pPr>
      <w:r>
        <w:drawing>
          <wp:anchor distT="0" distB="0" distL="114300" distR="114300" simplePos="0" relativeHeight="251685888" behindDoc="1" locked="1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-1073150</wp:posOffset>
            </wp:positionV>
            <wp:extent cx="7538085" cy="10662920"/>
            <wp:effectExtent l="0" t="0" r="5715" b="5080"/>
            <wp:wrapNone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8085" cy="10662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hAnsi="楷体" w:eastAsia="楷体"/>
          <w:b/>
          <w:sz w:val="32"/>
          <w:szCs w:val="32"/>
        </w:rPr>
        <w:t>SCI期刊论文征集：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  <w:r>
        <w:rPr>
          <w:rFonts w:ascii="楷体" w:hAnsi="楷体" w:eastAsia="楷体"/>
          <w:sz w:val="32"/>
          <w:szCs w:val="32"/>
        </w:rPr>
        <w:t xml:space="preserve">    推荐10篇优秀论文到SCI期刊，录满截止！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</w:p>
    <w:p>
      <w:pPr>
        <w:spacing w:line="360" w:lineRule="auto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期刊</w:t>
      </w:r>
      <w:r>
        <w:rPr>
          <w:rFonts w:ascii="楷体" w:hAnsi="楷体" w:eastAsia="楷体"/>
          <w:sz w:val="32"/>
          <w:szCs w:val="32"/>
        </w:rPr>
        <w:t>1(IF约1.5)：成像和成像系统相关主题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期刊</w:t>
      </w:r>
      <w:r>
        <w:rPr>
          <w:rFonts w:ascii="楷体" w:hAnsi="楷体" w:eastAsia="楷体"/>
          <w:sz w:val="32"/>
          <w:szCs w:val="32"/>
        </w:rPr>
        <w:t>2(IF约1.5)：与智能系统、模糊系统、工程和其他科技领域相关的基于网络系统的应用、案例研究以及教育主题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期刊</w:t>
      </w:r>
      <w:r>
        <w:rPr>
          <w:rFonts w:ascii="楷体" w:hAnsi="楷体" w:eastAsia="楷体"/>
          <w:sz w:val="32"/>
          <w:szCs w:val="32"/>
        </w:rPr>
        <w:t>3(IF约0.9)：结构力学、地震工程、桥梁和隧道工程、公路和运输工程方面的理论和实践研究</w:t>
      </w:r>
    </w:p>
    <w:p>
      <w:pPr>
        <w:spacing w:line="360" w:lineRule="auto"/>
        <w:rPr>
          <w:rFonts w:ascii="楷体" w:hAnsi="楷体" w:eastAsia="楷体"/>
          <w:color w:val="C00000"/>
          <w:sz w:val="28"/>
          <w:szCs w:val="32"/>
        </w:rPr>
      </w:pPr>
      <w:r>
        <w:rPr>
          <w:rFonts w:ascii="楷体" w:hAnsi="楷体" w:eastAsia="楷体"/>
          <w:color w:val="C00000"/>
          <w:sz w:val="28"/>
          <w:szCs w:val="32"/>
        </w:rPr>
        <w:t>*注：SCI期刊稿件仅可发送到service@keoaeic.org邮箱投稿，请标注“SCI稿件-ICTETS”。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</w:p>
    <w:p>
      <w:pPr>
        <w:spacing w:line="360" w:lineRule="auto"/>
        <w:rPr>
          <w:rFonts w:hint="eastAsia" w:ascii="楷体" w:hAnsi="楷体" w:eastAsia="楷体"/>
          <w:sz w:val="32"/>
          <w:szCs w:val="32"/>
        </w:rPr>
      </w:pPr>
    </w:p>
    <w:p>
      <w:pPr>
        <w:spacing w:line="360" w:lineRule="auto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九、投稿方式</w:t>
      </w:r>
    </w:p>
    <w:p>
      <w:pPr>
        <w:spacing w:line="360" w:lineRule="auto"/>
        <w:rPr>
          <w:rFonts w:hint="eastAsia" w:ascii="楷体" w:hAnsi="楷体" w:eastAsia="楷体"/>
          <w:b/>
          <w:color w:val="C00000"/>
          <w:sz w:val="32"/>
          <w:szCs w:val="32"/>
        </w:rPr>
      </w:pPr>
      <w:r>
        <w:rPr>
          <w:rFonts w:hint="eastAsia" w:ascii="楷体" w:hAnsi="楷体" w:eastAsia="楷体"/>
          <w:b/>
          <w:color w:val="C00000"/>
          <w:sz w:val="32"/>
          <w:szCs w:val="32"/>
        </w:rPr>
        <w:t>截止投稿：</w:t>
      </w:r>
      <w:r>
        <w:rPr>
          <w:rFonts w:ascii="楷体" w:hAnsi="楷体" w:eastAsia="楷体"/>
          <w:b/>
          <w:color w:val="C00000"/>
          <w:sz w:val="32"/>
          <w:szCs w:val="32"/>
        </w:rPr>
        <w:t>2019年8月30日</w:t>
      </w:r>
    </w:p>
    <w:p>
      <w:pPr>
        <w:spacing w:line="360" w:lineRule="auto"/>
        <w:rPr>
          <w:rFonts w:ascii="楷体" w:hAnsi="楷体" w:eastAsia="楷体"/>
          <w:b/>
          <w:sz w:val="32"/>
          <w:szCs w:val="32"/>
        </w:rPr>
      </w:pPr>
      <w:r>
        <w:rPr>
          <w:rFonts w:ascii="楷体" w:hAnsi="楷体" w:eastAsia="楷体"/>
          <w:b/>
          <w:sz w:val="32"/>
          <w:szCs w:val="32"/>
        </w:rPr>
        <w:t>1.EI会议论文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网站下载模板、作者登记表后，经排版，发送初稿</w:t>
      </w:r>
      <w:r>
        <w:rPr>
          <w:rFonts w:ascii="楷体" w:hAnsi="楷体" w:eastAsia="楷体"/>
          <w:sz w:val="32"/>
          <w:szCs w:val="32"/>
        </w:rPr>
        <w:t>word版本、pdf版本、作者登记表至会议邮箱ICTETS@163.com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</w:p>
    <w:p>
      <w:pPr>
        <w:spacing w:line="360" w:lineRule="auto"/>
        <w:rPr>
          <w:rFonts w:ascii="楷体" w:hAnsi="楷体" w:eastAsia="楷体"/>
          <w:b/>
          <w:sz w:val="32"/>
          <w:szCs w:val="32"/>
        </w:rPr>
      </w:pPr>
      <w:r>
        <w:rPr>
          <w:rFonts w:ascii="楷体" w:hAnsi="楷体" w:eastAsia="楷体"/>
          <w:b/>
          <w:sz w:val="32"/>
          <w:szCs w:val="32"/>
        </w:rPr>
        <w:t>2.SCI期刊论文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据</w:t>
      </w:r>
      <w:r>
        <w:rPr>
          <w:rFonts w:ascii="楷体" w:hAnsi="楷体" w:eastAsia="楷体"/>
          <w:sz w:val="32"/>
          <w:szCs w:val="32"/>
        </w:rPr>
        <w:t>SCI模板排版后，满足10页或以上，可发送到service@keoaeic.org邮箱投稿，请标注“SCI稿件-ICTETS”。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</w:p>
    <w:p>
      <w:pPr>
        <w:spacing w:line="360" w:lineRule="auto"/>
        <w:rPr>
          <w:rFonts w:hint="eastAsia" w:ascii="楷体" w:hAnsi="楷体" w:eastAsia="楷体"/>
          <w:sz w:val="32"/>
          <w:szCs w:val="32"/>
        </w:rPr>
      </w:pPr>
      <w:r>
        <w:drawing>
          <wp:anchor distT="0" distB="0" distL="114300" distR="114300" simplePos="0" relativeHeight="251687936" behindDoc="1" locked="1" layoutInCell="1" allowOverlap="1">
            <wp:simplePos x="0" y="0"/>
            <wp:positionH relativeFrom="column">
              <wp:posOffset>-426085</wp:posOffset>
            </wp:positionH>
            <wp:positionV relativeFrom="paragraph">
              <wp:posOffset>-694690</wp:posOffset>
            </wp:positionV>
            <wp:extent cx="7538085" cy="10662920"/>
            <wp:effectExtent l="0" t="0" r="5715" b="5080"/>
            <wp:wrapNone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8085" cy="10662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十、联系方式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会议网址：</w:t>
      </w:r>
      <w:r>
        <w:fldChar w:fldCharType="begin"/>
      </w:r>
      <w:r>
        <w:instrText xml:space="preserve"> HYPERLINK "www.ictets.org" </w:instrText>
      </w:r>
      <w:r>
        <w:fldChar w:fldCharType="separate"/>
      </w:r>
      <w:r>
        <w:rPr>
          <w:rStyle w:val="6"/>
          <w:rFonts w:ascii="楷体" w:hAnsi="楷体" w:eastAsia="楷体"/>
          <w:sz w:val="32"/>
          <w:szCs w:val="32"/>
        </w:rPr>
        <w:t>www.ictets.org</w:t>
      </w:r>
      <w:r>
        <w:rPr>
          <w:rStyle w:val="6"/>
          <w:rFonts w:ascii="楷体" w:hAnsi="楷体" w:eastAsia="楷体"/>
          <w:sz w:val="32"/>
          <w:szCs w:val="32"/>
        </w:rPr>
        <w:fldChar w:fldCharType="end"/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会议邮箱：</w:t>
      </w:r>
      <w:r>
        <w:rPr>
          <w:rFonts w:ascii="楷体" w:hAnsi="楷体" w:eastAsia="楷体"/>
          <w:sz w:val="32"/>
          <w:szCs w:val="32"/>
        </w:rPr>
        <w:t>ICTETS@163.com</w:t>
      </w:r>
    </w:p>
    <w:p>
      <w:pPr>
        <w:spacing w:line="360" w:lineRule="auto"/>
        <w:rPr>
          <w:rFonts w:ascii="楷体" w:hAnsi="楷体" w:eastAsia="楷体"/>
          <w:b/>
          <w:sz w:val="32"/>
          <w:szCs w:val="32"/>
        </w:rPr>
      </w:pPr>
    </w:p>
    <w:p>
      <w:pPr>
        <w:spacing w:line="360" w:lineRule="auto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投稿</w:t>
      </w:r>
      <w:r>
        <w:rPr>
          <w:rFonts w:ascii="楷体" w:hAnsi="楷体" w:eastAsia="楷体"/>
          <w:b/>
          <w:sz w:val="32"/>
          <w:szCs w:val="32"/>
        </w:rPr>
        <w:t>/参会/会务：麦老师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咨询电话：</w:t>
      </w:r>
      <w:r>
        <w:rPr>
          <w:rFonts w:ascii="楷体" w:hAnsi="楷体" w:eastAsia="楷体"/>
          <w:sz w:val="32"/>
          <w:szCs w:val="32"/>
        </w:rPr>
        <w:t>+86-020-29071473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手机</w:t>
      </w:r>
      <w:r>
        <w:rPr>
          <w:rFonts w:ascii="楷体" w:hAnsi="楷体" w:eastAsia="楷体"/>
          <w:sz w:val="32"/>
          <w:szCs w:val="32"/>
        </w:rPr>
        <w:t>/微信：+86-13922151732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  <w:r>
        <w:rPr>
          <w:rFonts w:ascii="楷体" w:hAnsi="楷体" w:eastAsia="楷体"/>
          <w:sz w:val="32"/>
          <w:szCs w:val="32"/>
        </w:rPr>
        <w:t>QQ咨询: 1465084071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  <w:r>
        <w:rPr>
          <w:rFonts w:ascii="楷体" w:hAnsi="楷体" w:eastAsia="楷体"/>
          <w:sz w:val="32"/>
          <w:szCs w:val="32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page">
              <wp:posOffset>504190</wp:posOffset>
            </wp:positionH>
            <wp:positionV relativeFrom="page">
              <wp:posOffset>4824095</wp:posOffset>
            </wp:positionV>
            <wp:extent cx="2601595" cy="1505585"/>
            <wp:effectExtent l="0" t="0" r="8890" b="0"/>
            <wp:wrapTopAndBottom/>
            <wp:docPr id="18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7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4536" cy="1513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楷体" w:hAnsi="楷体" w:eastAsia="楷体"/>
          <w:sz w:val="32"/>
          <w:szCs w:val="32"/>
        </w:rPr>
        <w:t>地址：广州市越秀区中山一路</w:t>
      </w:r>
      <w:r>
        <w:rPr>
          <w:rFonts w:ascii="楷体" w:hAnsi="楷体" w:eastAsia="楷体"/>
          <w:sz w:val="32"/>
          <w:szCs w:val="32"/>
        </w:rPr>
        <w:t>57号南方铁道大厦27楼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</w:p>
    <w:p>
      <w:pPr>
        <w:spacing w:line="360" w:lineRule="auto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协办</w:t>
      </w:r>
      <w:r>
        <w:rPr>
          <w:rFonts w:ascii="楷体" w:hAnsi="楷体" w:eastAsia="楷体"/>
          <w:b/>
          <w:sz w:val="32"/>
          <w:szCs w:val="32"/>
        </w:rPr>
        <w:t>/赞助/报告：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朱成明博士：</w:t>
      </w:r>
      <w:r>
        <w:rPr>
          <w:rFonts w:ascii="楷体" w:hAnsi="楷体" w:eastAsia="楷体"/>
          <w:sz w:val="32"/>
          <w:szCs w:val="32"/>
        </w:rPr>
        <w:t>86-134 0399 8092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康继春博士：</w:t>
      </w:r>
      <w:r>
        <w:rPr>
          <w:rFonts w:ascii="楷体" w:hAnsi="楷体" w:eastAsia="楷体"/>
          <w:sz w:val="32"/>
          <w:szCs w:val="32"/>
        </w:rPr>
        <w:t>86-135 2391 1671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郭保华博士：</w:t>
      </w:r>
      <w:r>
        <w:rPr>
          <w:rFonts w:ascii="楷体" w:hAnsi="楷体" w:eastAsia="楷体"/>
          <w:sz w:val="32"/>
          <w:szCs w:val="32"/>
        </w:rPr>
        <w:t>86-139 4966 9615, 邮箱：guobaohua@139.com</w:t>
      </w:r>
    </w:p>
    <w:p>
      <w:pPr>
        <w:spacing w:line="360" w:lineRule="auto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地址：河南省焦作市高新区世纪大道</w:t>
      </w:r>
      <w:r>
        <w:rPr>
          <w:rFonts w:ascii="楷体" w:hAnsi="楷体" w:eastAsia="楷体"/>
          <w:sz w:val="32"/>
          <w:szCs w:val="32"/>
        </w:rPr>
        <w:t>2001号，河南理工大学能源科学与工程学院</w:t>
      </w:r>
    </w:p>
    <w:p>
      <w:pPr>
        <w:spacing w:line="360" w:lineRule="auto"/>
      </w:pPr>
    </w:p>
    <w:p>
      <w:pPr>
        <w:widowControl/>
        <w:jc w:val="left"/>
      </w:pPr>
    </w:p>
    <w:p>
      <w:pPr>
        <w:tabs>
          <w:tab w:val="left" w:pos="4303"/>
        </w:tabs>
        <w:rPr>
          <w:rFonts w:hint="eastAsi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right="1260"/>
      <w:jc w:val="both"/>
    </w:pPr>
    <w:sdt>
      <w:sdtPr>
        <w:rPr>
          <w:rFonts w:hint="eastAsia"/>
        </w:rPr>
        <w:alias w:val="作者"/>
        <w:id w:val="287096102"/>
        <w:placeholder>
          <w:docPart w:val="9059382235514DD8980DAE0B07F09424"/>
        </w:placeholder>
        <w15:dataBinding w:prefixMappings="xmlns:ns0='http://purl.org/dc/elements/1.1/' xmlns:ns1='http://schemas.openxmlformats.org/package/2006/metadata/core-properties' " w:xpath="/ns1:coreProperties[1]/ns0:creator[1]" w:storeItemID="{6C3C8BC8-F283-45AE-878A-BAB7291924A1}"/>
        <w:text/>
      </w:sdtPr>
      <w:sdtEndPr>
        <w:rPr>
          <w:rFonts w:hint="eastAsia"/>
        </w:rPr>
      </w:sdtEndPr>
      <w:sdtContent>
        <w:r>
          <w:rPr>
            <w:rFonts w:hint="eastAsia"/>
            <w:lang w:eastAsia="zh-CN"/>
          </w:rPr>
          <w:t>黄金矿工</w:t>
        </w:r>
      </w:sdtContent>
    </w:sdt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738"/>
    <w:rsid w:val="003F3C15"/>
    <w:rsid w:val="00794654"/>
    <w:rsid w:val="007A7738"/>
    <w:rsid w:val="0090250B"/>
    <w:rsid w:val="00AC1E98"/>
    <w:rsid w:val="00E63F98"/>
    <w:rsid w:val="2EE33903"/>
    <w:rsid w:val="670C2821"/>
    <w:rsid w:val="7DEB5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  <w:style w:type="character" w:styleId="9">
    <w:name w:val="Placeholder Text"/>
    <w:basedOn w:val="5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glossaryDocument" Target="glossary/document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image" Target="media/image3.png"/><Relationship Id="rId11" Type="http://schemas.openxmlformats.org/officeDocument/2006/relationships/image" Target="media/image2.jpe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9059382235514DD8980DAE0B07F09424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A03240F-FE1F-4898-944E-8249BE2F2407}"/>
      </w:docPartPr>
      <w:docPartBody>
        <w:p>
          <w:r>
            <w:rPr>
              <w:rStyle w:val="4"/>
            </w:rPr>
            <w:t>[作者]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FA5"/>
    <w:rsid w:val="00003372"/>
    <w:rsid w:val="00355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cs="Times New Roman" w:asciiTheme="minorHAnsi" w:hAnsiTheme="minorHAnsi" w:eastAsiaTheme="minorEastAsia"/>
      <w:kern w:val="2"/>
      <w:sz w:val="3276"/>
      <w:szCs w:val="3276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808080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44BEC4-D1C6-46D7-A29D-85962B74088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382</Words>
  <Characters>2178</Characters>
  <Lines>18</Lines>
  <Paragraphs>5</Paragraphs>
  <TotalTime>9</TotalTime>
  <ScaleCrop>false</ScaleCrop>
  <LinksUpToDate>false</LinksUpToDate>
  <CharactersWithSpaces>2555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2019-06-04T09:40:00Z</dcterms:created>
  <dc:creator>黄金矿工</dc:creator>
  <cp:lastModifiedBy>黄金矿工</cp:lastModifiedBy>
  <dcterms:modified xsi:type="dcterms:W3CDTF">2019-06-04T11:42:47Z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